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D2C" w:rsidRDefault="00BA6D2C" w:rsidP="007C64CA">
      <w:pPr>
        <w:rPr>
          <w:rFonts w:ascii="Calibri" w:hAnsi="Calibri" w:cs="Calibri"/>
          <w:b/>
          <w:sz w:val="22"/>
          <w:szCs w:val="22"/>
        </w:rPr>
      </w:pPr>
    </w:p>
    <w:p w:rsidR="00001E4B" w:rsidRDefault="00001E4B" w:rsidP="007C64CA">
      <w:pPr>
        <w:rPr>
          <w:rFonts w:ascii="Calibri" w:hAnsi="Calibri" w:cs="Calibri"/>
          <w:b/>
          <w:sz w:val="22"/>
          <w:szCs w:val="22"/>
        </w:rPr>
      </w:pPr>
    </w:p>
    <w:p w:rsidR="00BA6D2C" w:rsidRDefault="00BA6D2C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BA6D2C" w:rsidRPr="00965C7E" w:rsidRDefault="00BA6D2C" w:rsidP="00334270">
      <w:pPr>
        <w:rPr>
          <w:rFonts w:asciiTheme="minorHAnsi" w:hAnsiTheme="minorHAnsi" w:cstheme="minorHAnsi"/>
          <w:sz w:val="22"/>
          <w:szCs w:val="22"/>
        </w:rPr>
      </w:pPr>
    </w:p>
    <w:p w:rsidR="00334270" w:rsidRPr="00313F99" w:rsidRDefault="00334270" w:rsidP="00334270">
      <w:pPr>
        <w:rPr>
          <w:rFonts w:asciiTheme="minorHAnsi" w:hAnsiTheme="minorHAnsi" w:cstheme="minorHAnsi"/>
          <w:sz w:val="22"/>
          <w:szCs w:val="22"/>
        </w:rPr>
      </w:pPr>
    </w:p>
    <w:p w:rsidR="00FB27C5" w:rsidRPr="00C3072B" w:rsidRDefault="00875190" w:rsidP="00F368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3072B">
        <w:rPr>
          <w:rFonts w:asciiTheme="minorHAnsi" w:hAnsiTheme="minorHAnsi" w:cstheme="minorHAnsi"/>
          <w:b/>
          <w:sz w:val="22"/>
          <w:szCs w:val="22"/>
        </w:rPr>
        <w:t xml:space="preserve">Processo n. </w:t>
      </w:r>
      <w:r w:rsidR="00C3072B" w:rsidRPr="00C3072B">
        <w:rPr>
          <w:rFonts w:asciiTheme="minorHAnsi" w:hAnsiTheme="minorHAnsi" w:cstheme="minorHAnsi"/>
          <w:b/>
          <w:sz w:val="22"/>
          <w:szCs w:val="22"/>
        </w:rPr>
        <w:t>100309/2009.</w:t>
      </w:r>
    </w:p>
    <w:p w:rsidR="00FE3125" w:rsidRPr="00C3072B" w:rsidRDefault="004B3EF0" w:rsidP="0087519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3072B">
        <w:rPr>
          <w:rFonts w:asciiTheme="minorHAnsi" w:hAnsiTheme="minorHAnsi" w:cstheme="minorHAnsi"/>
          <w:b/>
          <w:sz w:val="22"/>
          <w:szCs w:val="22"/>
        </w:rPr>
        <w:t xml:space="preserve">Recorrente </w:t>
      </w:r>
      <w:r w:rsidR="00712BED" w:rsidRPr="00C3072B">
        <w:rPr>
          <w:rFonts w:asciiTheme="minorHAnsi" w:hAnsiTheme="minorHAnsi" w:cstheme="minorHAnsi"/>
          <w:b/>
          <w:sz w:val="22"/>
          <w:szCs w:val="22"/>
        </w:rPr>
        <w:t>-</w:t>
      </w:r>
      <w:r w:rsidR="00424484" w:rsidRPr="00C307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3072B" w:rsidRPr="00C3072B">
        <w:rPr>
          <w:rFonts w:asciiTheme="minorHAnsi" w:hAnsiTheme="minorHAnsi" w:cstheme="minorHAnsi"/>
          <w:b/>
          <w:sz w:val="22"/>
          <w:szCs w:val="22"/>
        </w:rPr>
        <w:t>Paulo de Oliveira Santos.</w:t>
      </w:r>
    </w:p>
    <w:p w:rsidR="00A14B97" w:rsidRPr="00313F99" w:rsidRDefault="001F1011" w:rsidP="00875190">
      <w:pPr>
        <w:jc w:val="both"/>
        <w:rPr>
          <w:rFonts w:asciiTheme="minorHAnsi" w:hAnsiTheme="minorHAnsi" w:cstheme="minorHAnsi"/>
          <w:sz w:val="22"/>
          <w:szCs w:val="22"/>
        </w:rPr>
      </w:pPr>
      <w:r w:rsidRPr="00313F99">
        <w:rPr>
          <w:rFonts w:asciiTheme="minorHAnsi" w:hAnsiTheme="minorHAnsi" w:cstheme="minorHAnsi"/>
          <w:sz w:val="22"/>
          <w:szCs w:val="22"/>
        </w:rPr>
        <w:t>Auto de Infra</w:t>
      </w:r>
      <w:r w:rsidR="00A47D5F" w:rsidRPr="00313F99">
        <w:rPr>
          <w:rFonts w:asciiTheme="minorHAnsi" w:hAnsiTheme="minorHAnsi" w:cstheme="minorHAnsi"/>
          <w:sz w:val="22"/>
          <w:szCs w:val="22"/>
        </w:rPr>
        <w:t xml:space="preserve">ção n. </w:t>
      </w:r>
      <w:r w:rsidR="00C3072B" w:rsidRPr="00C3072B">
        <w:rPr>
          <w:rFonts w:asciiTheme="minorHAnsi" w:hAnsiTheme="minorHAnsi" w:cstheme="minorHAnsi"/>
          <w:sz w:val="22"/>
          <w:szCs w:val="22"/>
        </w:rPr>
        <w:t xml:space="preserve">117627, de 04/02/2009.  </w:t>
      </w:r>
    </w:p>
    <w:p w:rsidR="00FE3125" w:rsidRPr="00313F99" w:rsidRDefault="008B7E0A" w:rsidP="00270AA2">
      <w:pPr>
        <w:jc w:val="both"/>
        <w:rPr>
          <w:rFonts w:asciiTheme="minorHAnsi" w:hAnsiTheme="minorHAnsi" w:cstheme="minorHAnsi"/>
          <w:sz w:val="22"/>
          <w:szCs w:val="22"/>
        </w:rPr>
      </w:pPr>
      <w:r w:rsidRPr="00313F99">
        <w:rPr>
          <w:rFonts w:asciiTheme="minorHAnsi" w:hAnsiTheme="minorHAnsi" w:cstheme="minorHAnsi"/>
          <w:sz w:val="22"/>
          <w:szCs w:val="22"/>
        </w:rPr>
        <w:t>Relator</w:t>
      </w:r>
      <w:r w:rsidR="001363BB" w:rsidRPr="00313F99">
        <w:rPr>
          <w:rFonts w:asciiTheme="minorHAnsi" w:hAnsiTheme="minorHAnsi" w:cstheme="minorHAnsi"/>
          <w:sz w:val="22"/>
          <w:szCs w:val="22"/>
        </w:rPr>
        <w:t xml:space="preserve"> - </w:t>
      </w:r>
      <w:r w:rsidR="00FE3125" w:rsidRPr="00313F99">
        <w:rPr>
          <w:rFonts w:asciiTheme="minorHAnsi" w:hAnsiTheme="minorHAnsi" w:cstheme="minorHAnsi"/>
          <w:sz w:val="22"/>
          <w:szCs w:val="22"/>
        </w:rPr>
        <w:t xml:space="preserve"> </w:t>
      </w:r>
      <w:r w:rsidR="00C3072B" w:rsidRPr="00C3072B">
        <w:rPr>
          <w:rFonts w:asciiTheme="minorHAnsi" w:hAnsiTheme="minorHAnsi" w:cstheme="minorHAnsi"/>
          <w:sz w:val="22"/>
          <w:szCs w:val="22"/>
        </w:rPr>
        <w:t xml:space="preserve">André </w:t>
      </w:r>
      <w:proofErr w:type="spellStart"/>
      <w:r w:rsidR="00C3072B" w:rsidRPr="00C3072B">
        <w:rPr>
          <w:rFonts w:asciiTheme="minorHAnsi" w:hAnsiTheme="minorHAnsi" w:cstheme="minorHAnsi"/>
          <w:sz w:val="22"/>
          <w:szCs w:val="22"/>
        </w:rPr>
        <w:t>Stumpf</w:t>
      </w:r>
      <w:proofErr w:type="spellEnd"/>
      <w:r w:rsidR="00C3072B" w:rsidRPr="00C3072B">
        <w:rPr>
          <w:rFonts w:asciiTheme="minorHAnsi" w:hAnsiTheme="minorHAnsi" w:cstheme="minorHAnsi"/>
          <w:sz w:val="22"/>
          <w:szCs w:val="22"/>
        </w:rPr>
        <w:t xml:space="preserve"> Jacob Gonçalves – FECOMÉRCIO</w:t>
      </w:r>
      <w:r w:rsidR="00C3072B">
        <w:rPr>
          <w:rFonts w:asciiTheme="minorHAnsi" w:hAnsiTheme="minorHAnsi" w:cstheme="minorHAnsi"/>
          <w:sz w:val="22"/>
          <w:szCs w:val="22"/>
        </w:rPr>
        <w:t>.</w:t>
      </w:r>
    </w:p>
    <w:p w:rsidR="00C3072B" w:rsidRDefault="00C3072B" w:rsidP="0087519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Advogada -</w:t>
      </w:r>
      <w:r w:rsidRPr="00C307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72B">
        <w:rPr>
          <w:rFonts w:asciiTheme="minorHAnsi" w:hAnsiTheme="minorHAnsi" w:cstheme="minorHAnsi"/>
          <w:sz w:val="22"/>
          <w:szCs w:val="22"/>
        </w:rPr>
        <w:t>Taciane</w:t>
      </w:r>
      <w:proofErr w:type="spellEnd"/>
      <w:r w:rsidRPr="00C307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72B">
        <w:rPr>
          <w:rFonts w:asciiTheme="minorHAnsi" w:hAnsiTheme="minorHAnsi" w:cstheme="minorHAnsi"/>
          <w:sz w:val="22"/>
          <w:szCs w:val="22"/>
        </w:rPr>
        <w:t>Fabiani</w:t>
      </w:r>
      <w:proofErr w:type="spellEnd"/>
      <w:r w:rsidRPr="00C3072B">
        <w:rPr>
          <w:rFonts w:asciiTheme="minorHAnsi" w:hAnsiTheme="minorHAnsi" w:cstheme="minorHAnsi"/>
          <w:sz w:val="22"/>
          <w:szCs w:val="22"/>
        </w:rPr>
        <w:t xml:space="preserve"> – OAB/MT 17.335-B</w:t>
      </w:r>
      <w:r w:rsidR="00231EF8">
        <w:rPr>
          <w:rFonts w:asciiTheme="minorHAnsi" w:hAnsiTheme="minorHAnsi" w:cstheme="minorHAnsi"/>
          <w:sz w:val="22"/>
          <w:szCs w:val="22"/>
        </w:rPr>
        <w:t>.</w:t>
      </w:r>
    </w:p>
    <w:p w:rsidR="00313F99" w:rsidRPr="00C3072B" w:rsidRDefault="000B6216" w:rsidP="00C3072B">
      <w:pPr>
        <w:jc w:val="both"/>
        <w:rPr>
          <w:rFonts w:asciiTheme="minorHAnsi" w:hAnsiTheme="minorHAnsi" w:cstheme="minorHAnsi"/>
          <w:sz w:val="22"/>
          <w:szCs w:val="22"/>
        </w:rPr>
      </w:pPr>
      <w:r w:rsidRPr="00313F99">
        <w:rPr>
          <w:rFonts w:asciiTheme="minorHAnsi" w:hAnsiTheme="minorHAnsi" w:cstheme="minorHAnsi"/>
          <w:sz w:val="22"/>
          <w:szCs w:val="22"/>
        </w:rPr>
        <w:t>2</w:t>
      </w:r>
      <w:r w:rsidR="00270D6D" w:rsidRPr="00313F99">
        <w:rPr>
          <w:rFonts w:asciiTheme="minorHAnsi" w:hAnsiTheme="minorHAnsi" w:cstheme="minorHAnsi"/>
          <w:sz w:val="22"/>
          <w:szCs w:val="22"/>
        </w:rPr>
        <w:t>ª J</w:t>
      </w:r>
      <w:r w:rsidR="0071491E" w:rsidRPr="00313F99">
        <w:rPr>
          <w:rFonts w:asciiTheme="minorHAnsi" w:hAnsiTheme="minorHAnsi" w:cstheme="minorHAnsi"/>
          <w:sz w:val="22"/>
          <w:szCs w:val="22"/>
        </w:rPr>
        <w:t>unta de Julgamento de Recursos.</w:t>
      </w:r>
      <w:r w:rsidR="008B7E0A" w:rsidRPr="00313F9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70AA2" w:rsidRDefault="00C3072B" w:rsidP="00FE31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317</w:t>
      </w:r>
      <w:r w:rsidR="00FB4F11" w:rsidRPr="0031065D">
        <w:rPr>
          <w:rFonts w:asciiTheme="minorHAnsi" w:hAnsiTheme="minorHAnsi" w:cstheme="minorHAnsi"/>
          <w:b/>
          <w:sz w:val="22"/>
          <w:szCs w:val="22"/>
        </w:rPr>
        <w:t>/2021</w:t>
      </w:r>
    </w:p>
    <w:p w:rsidR="000C10B2" w:rsidRDefault="000C10B2" w:rsidP="00FE31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3072B" w:rsidRPr="00C3072B" w:rsidRDefault="00C3072B" w:rsidP="00C3072B">
      <w:pPr>
        <w:jc w:val="both"/>
        <w:rPr>
          <w:rFonts w:asciiTheme="minorHAnsi" w:hAnsiTheme="minorHAnsi" w:cstheme="minorHAnsi"/>
          <w:sz w:val="22"/>
          <w:szCs w:val="22"/>
        </w:rPr>
      </w:pPr>
      <w:r w:rsidRPr="00C3072B">
        <w:rPr>
          <w:rFonts w:asciiTheme="minorHAnsi" w:hAnsiTheme="minorHAnsi" w:cstheme="minorHAnsi"/>
          <w:sz w:val="22"/>
          <w:szCs w:val="22"/>
        </w:rPr>
        <w:t>Auto de Infração n. 117627, de 04/02/2009.  Por destruir ou desmatar 63,2735 hectares de floresta nativa em área considerada de preservação permanente, sem autorização do órgão ambiental, conforme fl.273 do Processo n. 6843/2004. Decisão Administrativa n. 2641/SPA/SEMA/2018, pela homologação do Auto de Infração n. 117627, de 04/02/2009, arbitrando multa de R$ 94.910,25 (noventa e quatro mil novecentos e dez reais e vinte e cinco centavos), com fulcro no art. 25 do Decreto Federal n. 3.179/99. Requer o recorrente o recebimento do recurso, para declarar improcedente o Auto de Infração n. 117627, de 04/02/2009, diante da aplicação do artigo 68 da Lei 12.651/2012, bem como requer manifestação e fundamentação precisa quanto aos fatos aqui elencados no recurso; requer prescrição; aplicação retroativa de lei a fato passado. Existência de termo de compromisso assinado com o IBAMA, em 15/05/2000, o proprietário, incorporou a sua propriedade o direito adquirido (art. 6º do Decreto Lei n. 4.657/1942 e art. 5º, XXXIV da Constituição Federal) de explorar 50% da propriedade. Existência de laudo de retificação da quantificação de área de reserva legal da propriedade para 1.629,541 hectares, ou seja, 61,35%.</w:t>
      </w:r>
      <w:r>
        <w:rPr>
          <w:rFonts w:asciiTheme="minorHAnsi" w:hAnsiTheme="minorHAnsi" w:cstheme="minorHAnsi"/>
          <w:sz w:val="22"/>
          <w:szCs w:val="22"/>
        </w:rPr>
        <w:t xml:space="preserve"> Recurso provido.</w:t>
      </w:r>
    </w:p>
    <w:p w:rsidR="00C565B5" w:rsidRPr="00313F99" w:rsidRDefault="00C565B5" w:rsidP="001363B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565B5" w:rsidRPr="00C3072B" w:rsidRDefault="00270AA2" w:rsidP="008B7E0A">
      <w:pPr>
        <w:jc w:val="both"/>
        <w:rPr>
          <w:rFonts w:asciiTheme="minorHAnsi" w:hAnsiTheme="minorHAnsi" w:cstheme="minorHAnsi"/>
          <w:sz w:val="22"/>
          <w:szCs w:val="22"/>
        </w:rPr>
      </w:pPr>
      <w:r w:rsidRPr="00C3072B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C565B5" w:rsidRPr="00C3072B">
        <w:rPr>
          <w:rFonts w:asciiTheme="minorHAnsi" w:hAnsiTheme="minorHAnsi" w:cstheme="minorHAnsi"/>
          <w:color w:val="000000"/>
          <w:sz w:val="22"/>
          <w:szCs w:val="22"/>
        </w:rPr>
        <w:t>tidos, decidiram os membros da 2</w:t>
      </w:r>
      <w:r w:rsidRPr="00C3072B">
        <w:rPr>
          <w:rFonts w:asciiTheme="minorHAnsi" w:hAnsiTheme="minorHAnsi" w:cstheme="minorHAnsi"/>
          <w:color w:val="000000"/>
          <w:sz w:val="22"/>
          <w:szCs w:val="22"/>
        </w:rPr>
        <w:t xml:space="preserve"> ª Junta de Julgamento de Recursos</w:t>
      </w:r>
      <w:r w:rsidR="00936E6A" w:rsidRPr="00C3072B">
        <w:rPr>
          <w:rFonts w:asciiTheme="minorHAnsi" w:hAnsiTheme="minorHAnsi" w:cstheme="minorHAnsi"/>
          <w:sz w:val="22"/>
          <w:szCs w:val="22"/>
        </w:rPr>
        <w:t xml:space="preserve"> </w:t>
      </w:r>
      <w:r w:rsidR="00C3072B" w:rsidRPr="00C3072B">
        <w:rPr>
          <w:rFonts w:asciiTheme="minorHAnsi" w:hAnsiTheme="minorHAnsi" w:cstheme="minorHAnsi"/>
          <w:sz w:val="22"/>
          <w:szCs w:val="22"/>
        </w:rPr>
        <w:t>por unanimidade, dar provimento ao recurso interposto pelo recorrente, acolhendo o voto da relatora, pois com supedâneo nos fundamentos expostos no voto, conhecemos e acolhemos a preliminar da prescrição, na forma intercorrente, em decorrência do lapso temporal havido entre a Defesa Administrativa, datada de 12/05/2014 (fls. 13/21) e a Decisão Administrativa n. 2641/SPA/SEMA/2018, de 08/11/2018, (fls. 36/37-Versus), paralisado por mais de 3 (t</w:t>
      </w:r>
      <w:r w:rsidR="00EB4B7F">
        <w:rPr>
          <w:rFonts w:asciiTheme="minorHAnsi" w:hAnsiTheme="minorHAnsi" w:cstheme="minorHAnsi"/>
          <w:sz w:val="22"/>
          <w:szCs w:val="22"/>
        </w:rPr>
        <w:t>rês) anos sem decisão administrativa</w:t>
      </w:r>
      <w:bookmarkStart w:id="0" w:name="_GoBack"/>
      <w:bookmarkEnd w:id="0"/>
      <w:r w:rsidR="00C3072B" w:rsidRPr="00C3072B">
        <w:rPr>
          <w:rFonts w:asciiTheme="minorHAnsi" w:hAnsiTheme="minorHAnsi" w:cstheme="minorHAnsi"/>
          <w:sz w:val="22"/>
          <w:szCs w:val="22"/>
        </w:rPr>
        <w:t xml:space="preserve">, tendo como consequência o arquivamento dos autos e, consequentemente a baixa do Auto de Infração n. 117627, de 04/02/2009, e o arquivamento do processo. </w:t>
      </w:r>
    </w:p>
    <w:p w:rsidR="00805DB0" w:rsidRPr="00BF4667" w:rsidRDefault="00AC133E" w:rsidP="00C3525E">
      <w:pPr>
        <w:jc w:val="both"/>
        <w:rPr>
          <w:rFonts w:asciiTheme="minorHAnsi" w:hAnsiTheme="minorHAnsi" w:cstheme="minorHAnsi"/>
          <w:sz w:val="22"/>
          <w:szCs w:val="22"/>
        </w:rPr>
      </w:pPr>
      <w:r w:rsidRPr="00BF4667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0B6216" w:rsidRDefault="000B6216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0B6216">
        <w:rPr>
          <w:rFonts w:ascii="Calibri" w:hAnsi="Calibri" w:cs="Calibri"/>
          <w:b/>
          <w:sz w:val="22"/>
          <w:szCs w:val="22"/>
        </w:rPr>
        <w:t xml:space="preserve">Augusto César Costa Castilho </w:t>
      </w:r>
    </w:p>
    <w:p w:rsidR="000B6216" w:rsidRDefault="000B6216" w:rsidP="00C3525E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</w:t>
      </w:r>
      <w:r w:rsidR="00C565B5">
        <w:rPr>
          <w:rFonts w:ascii="Calibri" w:hAnsi="Calibri" w:cs="Calibri"/>
          <w:sz w:val="22"/>
          <w:szCs w:val="22"/>
        </w:rPr>
        <w:t>esentante do IBAMA</w:t>
      </w:r>
    </w:p>
    <w:p w:rsidR="00C565B5" w:rsidRDefault="00C565B5" w:rsidP="00C565B5">
      <w:pPr>
        <w:jc w:val="both"/>
        <w:rPr>
          <w:rFonts w:ascii="Calibri" w:hAnsi="Calibri" w:cs="Calibri"/>
          <w:b/>
          <w:sz w:val="22"/>
          <w:szCs w:val="22"/>
        </w:rPr>
      </w:pPr>
      <w:r w:rsidRPr="000B6216">
        <w:rPr>
          <w:rFonts w:ascii="Calibri" w:hAnsi="Calibri" w:cs="Calibri"/>
          <w:b/>
          <w:sz w:val="22"/>
          <w:szCs w:val="22"/>
        </w:rPr>
        <w:t>Fabíola Laura Costa</w:t>
      </w:r>
    </w:p>
    <w:p w:rsidR="00C565B5" w:rsidRDefault="00C565B5" w:rsidP="00C3525E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</w:t>
      </w:r>
      <w:r>
        <w:rPr>
          <w:rFonts w:ascii="Calibri" w:hAnsi="Calibri" w:cs="Calibri"/>
          <w:sz w:val="22"/>
          <w:szCs w:val="22"/>
        </w:rPr>
        <w:t>esentante do FECOMÉRCIO</w:t>
      </w:r>
    </w:p>
    <w:p w:rsidR="00C565B5" w:rsidRPr="000B6216" w:rsidRDefault="00C565B5" w:rsidP="00C565B5">
      <w:pPr>
        <w:jc w:val="both"/>
        <w:rPr>
          <w:rFonts w:ascii="Calibri" w:hAnsi="Calibri" w:cs="Calibri"/>
          <w:b/>
          <w:sz w:val="22"/>
          <w:szCs w:val="22"/>
        </w:rPr>
      </w:pPr>
      <w:r w:rsidRPr="000B6216">
        <w:rPr>
          <w:rFonts w:ascii="Calibri" w:hAnsi="Calibri" w:cs="Calibri"/>
          <w:b/>
          <w:sz w:val="22"/>
          <w:szCs w:val="22"/>
        </w:rPr>
        <w:t>Gisele Gaudêncio Alves da Silva</w:t>
      </w:r>
    </w:p>
    <w:p w:rsidR="00C565B5" w:rsidRPr="00C565B5" w:rsidRDefault="001B0EF1" w:rsidP="00C565B5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</w:t>
      </w:r>
      <w:r w:rsidR="00C565B5">
        <w:rPr>
          <w:rFonts w:ascii="Calibri" w:hAnsi="Calibri" w:cs="Calibri"/>
          <w:sz w:val="22"/>
          <w:szCs w:val="22"/>
        </w:rPr>
        <w:t xml:space="preserve"> ITEEC</w:t>
      </w:r>
    </w:p>
    <w:p w:rsidR="000B6216" w:rsidRPr="000B6216" w:rsidRDefault="000B6216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0B6216">
        <w:rPr>
          <w:rFonts w:ascii="Calibri" w:hAnsi="Calibri" w:cs="Calibri"/>
          <w:b/>
          <w:sz w:val="22"/>
          <w:szCs w:val="22"/>
        </w:rPr>
        <w:t xml:space="preserve">Marcos Felipe </w:t>
      </w:r>
      <w:proofErr w:type="spellStart"/>
      <w:r w:rsidRPr="000B6216">
        <w:rPr>
          <w:rFonts w:ascii="Calibri" w:hAnsi="Calibri" w:cs="Calibri"/>
          <w:b/>
          <w:sz w:val="22"/>
          <w:szCs w:val="22"/>
        </w:rPr>
        <w:t>Verhalen</w:t>
      </w:r>
      <w:proofErr w:type="spellEnd"/>
      <w:r w:rsidRPr="000B6216">
        <w:rPr>
          <w:rFonts w:ascii="Calibri" w:hAnsi="Calibri" w:cs="Calibri"/>
          <w:b/>
          <w:sz w:val="22"/>
          <w:szCs w:val="22"/>
        </w:rPr>
        <w:t xml:space="preserve"> de Freitas</w:t>
      </w:r>
    </w:p>
    <w:p w:rsidR="000B6216" w:rsidRDefault="000B6216" w:rsidP="00C3525E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Representante da</w:t>
      </w:r>
      <w:r>
        <w:rPr>
          <w:rFonts w:ascii="Calibri" w:hAnsi="Calibri" w:cs="Calibri"/>
          <w:sz w:val="22"/>
          <w:szCs w:val="22"/>
        </w:rPr>
        <w:t xml:space="preserve"> SEDUC</w:t>
      </w:r>
    </w:p>
    <w:p w:rsidR="00C565B5" w:rsidRDefault="00C565B5" w:rsidP="00C565B5">
      <w:pPr>
        <w:jc w:val="both"/>
        <w:rPr>
          <w:rFonts w:ascii="Calibri" w:hAnsi="Calibri" w:cs="Calibri"/>
          <w:b/>
          <w:sz w:val="22"/>
          <w:szCs w:val="22"/>
        </w:rPr>
      </w:pPr>
      <w:r w:rsidRPr="000B6216">
        <w:rPr>
          <w:rFonts w:ascii="Calibri" w:hAnsi="Calibri" w:cs="Calibri"/>
          <w:b/>
          <w:sz w:val="22"/>
          <w:szCs w:val="22"/>
        </w:rPr>
        <w:t>Willian Khalil</w:t>
      </w:r>
    </w:p>
    <w:p w:rsidR="00C565B5" w:rsidRPr="000B6216" w:rsidRDefault="00C565B5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</w:t>
      </w:r>
      <w:r>
        <w:rPr>
          <w:rFonts w:ascii="Calibri" w:hAnsi="Calibri" w:cs="Calibri"/>
          <w:sz w:val="22"/>
          <w:szCs w:val="22"/>
        </w:rPr>
        <w:t>esentante do CREA</w:t>
      </w:r>
    </w:p>
    <w:p w:rsidR="00C565B5" w:rsidRDefault="00C565B5" w:rsidP="000B6216">
      <w:pPr>
        <w:spacing w:line="276" w:lineRule="auto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 xml:space="preserve">Cuiabá, </w:t>
      </w:r>
      <w:r>
        <w:rPr>
          <w:rFonts w:ascii="Calibri" w:hAnsi="Calibri" w:cs="Calibri"/>
          <w:sz w:val="22"/>
          <w:szCs w:val="22"/>
        </w:rPr>
        <w:t xml:space="preserve">22 </w:t>
      </w:r>
      <w:r w:rsidRPr="001363BB">
        <w:rPr>
          <w:rFonts w:ascii="Calibri" w:hAnsi="Calibri" w:cs="Calibri"/>
          <w:sz w:val="22"/>
          <w:szCs w:val="22"/>
        </w:rPr>
        <w:t>de outubro de 2021</w:t>
      </w:r>
      <w:r>
        <w:rPr>
          <w:rFonts w:ascii="Calibri" w:hAnsi="Calibri" w:cs="Calibri"/>
          <w:sz w:val="22"/>
          <w:szCs w:val="22"/>
        </w:rPr>
        <w:t>.</w:t>
      </w:r>
    </w:p>
    <w:p w:rsidR="00001E4B" w:rsidRDefault="00001E4B" w:rsidP="000B6216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C565B5" w:rsidRDefault="00C565B5" w:rsidP="000B621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B6216" w:rsidRPr="000B6216" w:rsidRDefault="00001E4B" w:rsidP="00001E4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0B6216" w:rsidRPr="000B6216">
        <w:rPr>
          <w:rFonts w:asciiTheme="minorHAnsi" w:hAnsiTheme="minorHAnsi" w:cstheme="minorHAnsi"/>
          <w:b/>
          <w:sz w:val="22"/>
          <w:szCs w:val="22"/>
        </w:rPr>
        <w:t>Willian Khalil</w:t>
      </w:r>
    </w:p>
    <w:p w:rsidR="008A1A85" w:rsidRPr="000B6216" w:rsidRDefault="005614B8" w:rsidP="00001E4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B6216">
        <w:rPr>
          <w:rFonts w:asciiTheme="minorHAnsi" w:hAnsiTheme="minorHAnsi" w:cstheme="minorHAnsi"/>
          <w:b/>
          <w:sz w:val="22"/>
          <w:szCs w:val="22"/>
        </w:rPr>
        <w:t xml:space="preserve">Presidente da </w:t>
      </w:r>
      <w:r w:rsidR="000B6216" w:rsidRPr="000B6216">
        <w:rPr>
          <w:rFonts w:asciiTheme="minorHAnsi" w:hAnsiTheme="minorHAnsi" w:cstheme="minorHAnsi"/>
          <w:b/>
          <w:sz w:val="22"/>
          <w:szCs w:val="22"/>
        </w:rPr>
        <w:t>2</w:t>
      </w:r>
      <w:r w:rsidR="00CB770A" w:rsidRPr="000B6216">
        <w:rPr>
          <w:rFonts w:asciiTheme="minorHAnsi" w:hAnsiTheme="minorHAnsi" w:cstheme="minorHAnsi"/>
          <w:b/>
          <w:sz w:val="22"/>
          <w:szCs w:val="22"/>
        </w:rPr>
        <w:t>ª J.J.R.</w:t>
      </w:r>
    </w:p>
    <w:sectPr w:rsidR="008A1A85" w:rsidRPr="000B6216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5194"/>
    <w:rsid w:val="00197097"/>
    <w:rsid w:val="00197254"/>
    <w:rsid w:val="001A0A3B"/>
    <w:rsid w:val="001A17EE"/>
    <w:rsid w:val="001A30AE"/>
    <w:rsid w:val="001A502A"/>
    <w:rsid w:val="001A5EAD"/>
    <w:rsid w:val="001A7DC6"/>
    <w:rsid w:val="001B00A7"/>
    <w:rsid w:val="001B0760"/>
    <w:rsid w:val="001B077C"/>
    <w:rsid w:val="001B0EF1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2854"/>
    <w:rsid w:val="002B4931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5EB2"/>
    <w:rsid w:val="002E7A40"/>
    <w:rsid w:val="002F0516"/>
    <w:rsid w:val="002F29CE"/>
    <w:rsid w:val="002F3FCD"/>
    <w:rsid w:val="002F5A9C"/>
    <w:rsid w:val="002F7057"/>
    <w:rsid w:val="0030161E"/>
    <w:rsid w:val="00302EDE"/>
    <w:rsid w:val="003057B9"/>
    <w:rsid w:val="0031065D"/>
    <w:rsid w:val="00311D3D"/>
    <w:rsid w:val="00311F5F"/>
    <w:rsid w:val="00312C49"/>
    <w:rsid w:val="00313F99"/>
    <w:rsid w:val="003144FF"/>
    <w:rsid w:val="0032045E"/>
    <w:rsid w:val="00324001"/>
    <w:rsid w:val="0032624B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1A89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60D8"/>
    <w:rsid w:val="00566B29"/>
    <w:rsid w:val="0056733F"/>
    <w:rsid w:val="00571A80"/>
    <w:rsid w:val="00571D9D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6D8F"/>
    <w:rsid w:val="00641363"/>
    <w:rsid w:val="0064387A"/>
    <w:rsid w:val="00643AEE"/>
    <w:rsid w:val="00646432"/>
    <w:rsid w:val="00646966"/>
    <w:rsid w:val="0065149C"/>
    <w:rsid w:val="0065327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12BED"/>
    <w:rsid w:val="0071491E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04B0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330F7"/>
    <w:rsid w:val="00841510"/>
    <w:rsid w:val="00841581"/>
    <w:rsid w:val="0084504A"/>
    <w:rsid w:val="00845E06"/>
    <w:rsid w:val="00852E26"/>
    <w:rsid w:val="00857D15"/>
    <w:rsid w:val="008615F5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839B5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3CDA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2A9A"/>
    <w:rsid w:val="00CC388F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96"/>
    <w:rsid w:val="00D84DEF"/>
    <w:rsid w:val="00D866E0"/>
    <w:rsid w:val="00DA1772"/>
    <w:rsid w:val="00DA2026"/>
    <w:rsid w:val="00DA5D7A"/>
    <w:rsid w:val="00DA63D8"/>
    <w:rsid w:val="00DA6D0C"/>
    <w:rsid w:val="00DA6EA1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7F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919FC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DD7A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2F6DD-B25B-43F9-9692-371CA54EF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5</cp:revision>
  <cp:lastPrinted>2021-06-17T18:16:00Z</cp:lastPrinted>
  <dcterms:created xsi:type="dcterms:W3CDTF">2021-10-25T16:28:00Z</dcterms:created>
  <dcterms:modified xsi:type="dcterms:W3CDTF">2021-10-27T12:45:00Z</dcterms:modified>
</cp:coreProperties>
</file>